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Sacrofano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Città Metropolitana di Roma Capitale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